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tabs>
          <w:tab w:val="left" w:pos="1958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06017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060171" w:rsidRDefault="00610811">
      <w:pPr>
        <w:spacing w:before="120" w:after="120"/>
        <w:ind w:left="567"/>
        <w:jc w:val="both"/>
        <w:rPr>
          <w:rFonts w:ascii="Liberation Serif" w:eastAsia="Times New Roman" w:hAnsi="Liberation Serif" w:cs="Liberation Serif"/>
          <w:b/>
          <w:bCs/>
          <w:sz w:val="42"/>
          <w:szCs w:val="42"/>
        </w:rPr>
      </w:pPr>
      <w:r>
        <w:rPr>
          <w:rFonts w:ascii="Liberation Serif" w:hAnsi="Liberation Serif" w:cs="Liberation Serif"/>
          <w:b/>
          <w:bCs/>
          <w:sz w:val="42"/>
          <w:szCs w:val="42"/>
        </w:rPr>
        <w:t>Технико-коммерческое предложение</w:t>
      </w:r>
    </w:p>
    <w:p w:rsidR="00060171" w:rsidRDefault="00610811">
      <w:pPr>
        <w:pBdr>
          <w:top w:val="single" w:sz="4" w:space="0" w:color="000000"/>
          <w:bottom w:val="single" w:sz="4" w:space="0" w:color="000000"/>
        </w:pBdr>
        <w:rPr>
          <w:rFonts w:ascii="Liberation Serif" w:eastAsia="Times New Roman" w:hAnsi="Liberation Serif" w:cs="Liberation Serif"/>
        </w:rPr>
      </w:pPr>
      <w:r>
        <w:rPr>
          <w:rFonts w:ascii="Liberation Serif" w:eastAsia="Times New Roman" w:hAnsi="Liberation Serif" w:cs="Liberation Serif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2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hape 1" o:spid="_x0000_s1" style="position:absolute;left:0;text-align:left;z-index:251659264;mso-wrap-distance-left:0.00pt;mso-wrap-distance-top:0.00pt;mso-wrap-distance-right:0.00pt;mso-wrap-distance-bottom:0.00pt;visibility:visible;" from="1.5pt,8.4pt" to="470.3pt,8.4pt" filled="f" strokecolor="#4A7EBB" strokeweight="2.25pt">
                <v:stroke dashstyle="solid"/>
              </v:line>
            </w:pict>
          </mc:Fallback>
        </mc:AlternateContent>
      </w:r>
    </w:p>
    <w:p w:rsidR="00060171" w:rsidRDefault="00610811">
      <w:pPr>
        <w:ind w:left="567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  <w:b/>
          <w:bCs/>
          <w:sz w:val="32"/>
          <w:szCs w:val="32"/>
        </w:rPr>
        <w:t>на предоставление права использования результата интеллектуальной деятельности (РИД) – программы для ЭВМ: «</w:t>
      </w:r>
      <w:bookmarkStart w:id="1" w:name="_Hlk105768623"/>
      <w:r>
        <w:rPr>
          <w:rFonts w:ascii="Liberation Serif" w:hAnsi="Liberation Serif" w:cs="Liberation Serif"/>
          <w:b/>
          <w:bCs/>
          <w:sz w:val="32"/>
          <w:szCs w:val="32"/>
        </w:rPr>
        <w:t>Типовая тиражная система финансово-экономического управления (ТТС ФЭУ)»</w:t>
      </w:r>
      <w:bookmarkEnd w:id="1"/>
      <w:r>
        <w:rPr>
          <w:rFonts w:ascii="Liberation Serif" w:hAnsi="Liberation Serif" w:cs="Liberation Serif"/>
          <w:b/>
          <w:bCs/>
          <w:sz w:val="32"/>
          <w:szCs w:val="32"/>
        </w:rPr>
        <w:t xml:space="preserve"> для </w:t>
      </w:r>
      <w:r>
        <w:rPr>
          <w:rFonts w:ascii="Liberation Serif" w:hAnsi="Liberation Serif" w:cs="Liberation Serif"/>
          <w:b/>
          <w:bCs/>
          <w:sz w:val="32"/>
          <w:szCs w:val="32"/>
        </w:rPr>
        <w:t>ПАО «Тамбовская энергосбытовая компания».</w:t>
      </w:r>
    </w:p>
    <w:p w:rsidR="00060171" w:rsidRDefault="00060171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060171" w:rsidRDefault="00610811">
      <w:pPr>
        <w:spacing w:before="120" w:after="120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>
        <w:rPr>
          <w:rFonts w:ascii="Liberation Serif" w:eastAsia="Times New Roman" w:hAnsi="Liberation Serif" w:cs="Liberation Serif"/>
          <w:noProof/>
        </w:rPr>
        <mc:AlternateContent>
          <mc:Choice Requires="wpg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16802</wp:posOffset>
                </wp:positionH>
                <wp:positionV relativeFrom="line">
                  <wp:posOffset>252285</wp:posOffset>
                </wp:positionV>
                <wp:extent cx="1909267" cy="0"/>
                <wp:effectExtent l="0" t="0" r="0" b="0"/>
                <wp:wrapNone/>
                <wp:docPr id="3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hape 2" o:spid="_x0000_s2" style="position:absolute;left:0;text-align:left;z-index:251660288;mso-wrap-distance-left:0.00pt;mso-wrap-distance-top:0.00pt;mso-wrap-distance-right:0.00pt;mso-wrap-distance-bottom:0.00pt;visibility:visible;" from="1.3pt,19.9pt" to="151.7pt,19.9pt" filled="f" strokecolor="#4A7EBB" strokeweight="2.25pt">
                <v:stroke dashstyle="solid"/>
              </v:line>
            </w:pict>
          </mc:Fallback>
        </mc:AlternateContent>
      </w:r>
      <w:r>
        <w:rPr>
          <w:rFonts w:ascii="Liberation Serif" w:hAnsi="Liberation Serif" w:cs="Liberation Serif"/>
          <w:b/>
          <w:bCs/>
          <w:sz w:val="28"/>
          <w:szCs w:val="28"/>
        </w:rPr>
        <w:t>2025 г.</w:t>
      </w:r>
    </w:p>
    <w:p w:rsidR="00060171" w:rsidRDefault="00610811">
      <w:pPr>
        <w:spacing w:before="120" w:after="120"/>
        <w:jc w:val="both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ООО «Интер РАО - ИТ»</w:t>
      </w:r>
    </w:p>
    <w:p w:rsidR="00060171" w:rsidRDefault="00060171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060171" w:rsidRDefault="00060171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060171" w:rsidRDefault="00060171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060171" w:rsidRDefault="00060171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060171" w:rsidRDefault="00610811">
      <w:pPr>
        <w:pStyle w:val="af4"/>
        <w:jc w:val="center"/>
        <w:rPr>
          <w:rFonts w:ascii="Liberation Serif" w:hAnsi="Liberation Serif" w:cs="Liberation Serif"/>
          <w:b/>
          <w:bCs/>
          <w:i/>
          <w:iCs/>
          <w:color w:val="365F91"/>
        </w:rPr>
      </w:pPr>
      <w:r>
        <w:rPr>
          <w:rFonts w:ascii="Liberation Serif" w:hAnsi="Liberation Serif" w:cs="Liberation Serif"/>
          <w:b/>
          <w:bCs/>
          <w:i/>
          <w:iCs/>
          <w:color w:val="365F91"/>
        </w:rPr>
        <w:t>г. Москва, 2025</w:t>
      </w:r>
    </w:p>
    <w:p w:rsidR="00060171" w:rsidRDefault="00060171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060171" w:rsidRDefault="00060171">
      <w:pPr>
        <w:pStyle w:val="af6"/>
        <w:rPr>
          <w:rFonts w:ascii="Liberation Serif" w:hAnsi="Liberation Serif" w:cs="Liberation Serif"/>
        </w:rPr>
      </w:pPr>
    </w:p>
    <w:p w:rsidR="00060171" w:rsidRDefault="00610811">
      <w:pPr>
        <w:pStyle w:val="af6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</w:rPr>
        <w:t>Оглавление</w:t>
      </w:r>
    </w:p>
    <w:p w:rsidR="00060171" w:rsidRDefault="00060171">
      <w:pPr>
        <w:rPr>
          <w:rFonts w:ascii="Liberation Serif" w:hAnsi="Liberation Serif" w:cs="Liberation Serif"/>
        </w:rPr>
      </w:pPr>
    </w:p>
    <w:p w:rsidR="00060171" w:rsidRDefault="00610811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TOC \t "heading 1, 1,heading 2, 2,Заголовк 2 (РЭР), 3"</w:instrText>
      </w:r>
      <w:r>
        <w:rPr>
          <w:rFonts w:ascii="Liberation Serif" w:hAnsi="Liberation Serif" w:cs="Liberation Serif"/>
        </w:rPr>
        <w:fldChar w:fldCharType="separate"/>
      </w:r>
    </w:p>
    <w:p w:rsidR="00060171" w:rsidRDefault="00610811">
      <w:pPr>
        <w:pStyle w:val="13"/>
        <w:numPr>
          <w:ilvl w:val="0"/>
          <w:numId w:val="1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ФИНАНСОВЫЕ УСЛОВИЯ РЕАЛИЗАЦИИ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PAGEREF _Toc \h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3</w:t>
      </w:r>
      <w:r>
        <w:rPr>
          <w:rFonts w:ascii="Liberation Serif" w:hAnsi="Liberation Serif" w:cs="Liberation Serif"/>
        </w:rPr>
        <w:fldChar w:fldCharType="end"/>
      </w:r>
    </w:p>
    <w:p w:rsidR="00060171" w:rsidRDefault="00610811">
      <w:pPr>
        <w:pStyle w:val="13"/>
        <w:numPr>
          <w:ilvl w:val="0"/>
          <w:numId w:val="2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ОПИСАНИЕ ПРЕДЛОЖЕНИЯ</w:t>
      </w:r>
      <w:r>
        <w:rPr>
          <w:rFonts w:ascii="Liberation Serif" w:hAnsi="Liberation Serif" w:cs="Liberation Serif"/>
        </w:rPr>
        <w:tab/>
        <w:t>4</w:t>
      </w:r>
    </w:p>
    <w:p w:rsidR="00060171" w:rsidRDefault="00610811">
      <w:pPr>
        <w:pStyle w:val="33"/>
        <w:numPr>
          <w:ilvl w:val="1"/>
          <w:numId w:val="2"/>
        </w:numPr>
        <w:rPr>
          <w:rFonts w:ascii="Liberation Serif" w:eastAsia="Calibri" w:hAnsi="Liberation Serif" w:cs="Liberation Serif"/>
        </w:rPr>
      </w:pPr>
      <w:r>
        <w:rPr>
          <w:rFonts w:ascii="Liberation Serif" w:eastAsia="Calibri" w:hAnsi="Liberation Serif" w:cs="Liberation Serif"/>
        </w:rPr>
        <w:t>ЦЕЛИ</w:t>
      </w:r>
      <w:r>
        <w:rPr>
          <w:rFonts w:ascii="Liberation Serif" w:eastAsia="Calibri" w:hAnsi="Liberation Serif" w:cs="Liberation Serif"/>
        </w:rPr>
        <w:tab/>
        <w:t>4</w:t>
      </w:r>
    </w:p>
    <w:p w:rsidR="00060171" w:rsidRDefault="00610811">
      <w:pPr>
        <w:pStyle w:val="33"/>
        <w:ind w:left="0"/>
        <w:rPr>
          <w:rFonts w:ascii="Liberation Serif" w:eastAsia="Calibri" w:hAnsi="Liberation Serif" w:cs="Liberation Serif"/>
        </w:rPr>
      </w:pPr>
      <w:r>
        <w:rPr>
          <w:rFonts w:ascii="Liberation Serif" w:eastAsia="Calibri" w:hAnsi="Liberation Serif" w:cs="Liberation Serif"/>
        </w:rPr>
        <w:t>3.     ОГРАНИЧЕНИЯ И ДОПУЩЕНИЯ</w:t>
      </w:r>
    </w:p>
    <w:p w:rsidR="00060171" w:rsidRDefault="00610811">
      <w:pPr>
        <w:pStyle w:val="13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4.     ЗАКЛЮЧИТЕЛЬНЫЕ ПОЛОЖЕНИЯ</w:t>
      </w:r>
      <w:r>
        <w:rPr>
          <w:rFonts w:ascii="Liberation Serif" w:hAnsi="Liberation Serif" w:cs="Liberation Serif"/>
        </w:rPr>
        <w:tab/>
        <w:t>4</w:t>
      </w:r>
    </w:p>
    <w:p w:rsidR="00060171" w:rsidRDefault="00610811">
      <w:pPr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</w:rPr>
        <w:fldChar w:fldCharType="end"/>
      </w:r>
    </w:p>
    <w:p w:rsidR="00060171" w:rsidRDefault="00060171">
      <w:pPr>
        <w:rPr>
          <w:rFonts w:ascii="Liberation Serif" w:eastAsia="Times New Roman" w:hAnsi="Liberation Serif" w:cs="Liberation Serif"/>
        </w:rPr>
      </w:pPr>
    </w:p>
    <w:p w:rsidR="00060171" w:rsidRDefault="00610811">
      <w:pPr>
        <w:tabs>
          <w:tab w:val="left" w:pos="7066"/>
        </w:tabs>
        <w:rPr>
          <w:rFonts w:ascii="Liberation Serif" w:hAnsi="Liberation Serif" w:cs="Liberation Serif"/>
        </w:rPr>
        <w:sectPr w:rsidR="00060171">
          <w:footerReference w:type="default" r:id="rId7"/>
          <w:headerReference w:type="first" r:id="rId8"/>
          <w:footerReference w:type="first" r:id="rId9"/>
          <w:pgSz w:w="11900" w:h="16840"/>
          <w:pgMar w:top="1134" w:right="850" w:bottom="1134" w:left="1276" w:header="708" w:footer="0" w:gutter="0"/>
          <w:cols w:space="720"/>
          <w:titlePg/>
          <w:docGrid w:linePitch="360"/>
        </w:sectPr>
      </w:pPr>
      <w:r>
        <w:rPr>
          <w:rFonts w:ascii="Liberation Serif" w:eastAsia="Times New Roman" w:hAnsi="Liberation Serif" w:cs="Liberation Serif"/>
        </w:rPr>
        <w:tab/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bookmarkStart w:id="2" w:name="_Ref352774167"/>
      <w:r>
        <w:rPr>
          <w:rFonts w:ascii="Liberation Serif" w:hAnsi="Liberation Serif" w:cs="Liberation Serif"/>
          <w:sz w:val="24"/>
          <w:szCs w:val="24"/>
        </w:rPr>
        <w:lastRenderedPageBreak/>
        <w:t>Компания ООО «Интер РАО - ИТ» высоко ценит возможность предоставления прав использования програм</w:t>
      </w:r>
      <w:r>
        <w:rPr>
          <w:rFonts w:ascii="Liberation Serif" w:hAnsi="Liberation Serif" w:cs="Liberation Serif"/>
          <w:sz w:val="24"/>
          <w:szCs w:val="24"/>
        </w:rPr>
        <w:t>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и выражает признательность за изучение подготовленного материала.</w:t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Качественное предоставление широкого спектра услуг доступа к ИТ-системам является приоритетным направлением деятельности ООО «Интер РАО - ИТ».</w:t>
      </w:r>
    </w:p>
    <w:p w:rsidR="00060171" w:rsidRDefault="0006017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:rsidR="00060171" w:rsidRDefault="00610811">
      <w:pPr>
        <w:pStyle w:val="10"/>
        <w:numPr>
          <w:ilvl w:val="0"/>
          <w:numId w:val="9"/>
        </w:numPr>
        <w:spacing w:before="200" w:after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3" w:name="_Toc"/>
      <w:r>
        <w:rPr>
          <w:rFonts w:ascii="Liberation Serif" w:hAnsi="Liberation Serif" w:cs="Liberation Serif"/>
          <w:sz w:val="24"/>
          <w:szCs w:val="24"/>
        </w:rPr>
        <w:t>ФИНАНСОВЫЕ УСЛОВИЯ РЕАЛИЗАЦИИ</w:t>
      </w:r>
      <w:bookmarkEnd w:id="3"/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Компания ООО «Интер РАО - ИТ» предлагает заключение лицензионного договора на пред</w:t>
      </w:r>
      <w:r>
        <w:rPr>
          <w:rFonts w:ascii="Liberation Serif" w:hAnsi="Liberation Serif" w:cs="Liberation Serif"/>
          <w:sz w:val="24"/>
          <w:szCs w:val="24"/>
        </w:rPr>
        <w:t>оставление права использования программы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(простая неисключительная лицензия).</w:t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Данная информационная система служит для целей автоматизации корпоративной учетной политики по на</w:t>
      </w:r>
      <w:r>
        <w:rPr>
          <w:rFonts w:ascii="Liberation Serif" w:hAnsi="Liberation Serif" w:cs="Liberation Serif"/>
          <w:sz w:val="24"/>
          <w:szCs w:val="24"/>
        </w:rPr>
        <w:t>циональным стандартам бухгалтерского учета для российского периметра компаний Группы «Интер РАО» в части сегментов «Сбыт» и «Прочие», в том числе с учетом адаптации под требования структуры данных консолидированной отчетности по МСФО, а также корпоративног</w:t>
      </w:r>
      <w:r>
        <w:rPr>
          <w:rFonts w:ascii="Liberation Serif" w:hAnsi="Liberation Serif" w:cs="Liberation Serif"/>
          <w:sz w:val="24"/>
          <w:szCs w:val="24"/>
        </w:rPr>
        <w:t>о формата бизнес-плана.</w:t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Объем лицензионного договора на предоставление прав использования программы для ЭВМ «Типовая тиражная система финансово-экономического управления (ТТС ФЭУ)» включает в себя:</w:t>
      </w:r>
    </w:p>
    <w:p w:rsidR="00060171" w:rsidRDefault="00610811">
      <w:pPr>
        <w:pStyle w:val="14"/>
        <w:numPr>
          <w:ilvl w:val="0"/>
          <w:numId w:val="27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Именные лицензии в количестве 74 шт.</w:t>
      </w:r>
    </w:p>
    <w:p w:rsidR="00060171" w:rsidRDefault="00610811">
      <w:pPr>
        <w:pStyle w:val="af7"/>
        <w:numPr>
          <w:ilvl w:val="0"/>
          <w:numId w:val="27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Универсальные лицензи</w:t>
      </w:r>
      <w:r>
        <w:rPr>
          <w:rFonts w:ascii="Liberation Serif" w:eastAsia="Times New Roman" w:hAnsi="Liberation Serif" w:cs="Liberation Serif"/>
          <w:sz w:val="24"/>
          <w:szCs w:val="24"/>
        </w:rPr>
        <w:t>и в количестве 1 шт.</w:t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Срок действия лицензий: с 01.07.2026 по 30.06.2029гг. </w:t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Срок оплаты: Оплата производится в форме безналичного расчета путем перечисления денежных средств в следующем порядке:</w:t>
      </w:r>
    </w:p>
    <w:p w:rsidR="00060171" w:rsidRDefault="00610811">
      <w:pPr>
        <w:pStyle w:val="14"/>
        <w:numPr>
          <w:ilvl w:val="0"/>
          <w:numId w:val="28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1/3 стоимости договора в течение 30 (тридцати) календарных дн</w:t>
      </w:r>
      <w:r>
        <w:rPr>
          <w:rFonts w:ascii="Liberation Serif" w:hAnsi="Liberation Serif" w:cs="Liberation Serif"/>
          <w:sz w:val="24"/>
          <w:szCs w:val="24"/>
        </w:rPr>
        <w:t>ей с даты подписания Акта приема-передачи;</w:t>
      </w:r>
    </w:p>
    <w:p w:rsidR="00060171" w:rsidRDefault="00610811">
      <w:pPr>
        <w:pStyle w:val="af7"/>
        <w:numPr>
          <w:ilvl w:val="0"/>
          <w:numId w:val="28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1/3 стоимости</w:t>
      </w:r>
      <w: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</w:rPr>
        <w:t>договора не позднее 31.07.2027 г.</w:t>
      </w:r>
    </w:p>
    <w:p w:rsidR="00060171" w:rsidRDefault="00610811">
      <w:pPr>
        <w:pStyle w:val="af7"/>
        <w:numPr>
          <w:ilvl w:val="0"/>
          <w:numId w:val="28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1/3 стоимости договора не позднее 31.07.2028 г.</w:t>
      </w:r>
    </w:p>
    <w:p w:rsidR="00060171" w:rsidRDefault="00610811">
      <w:p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Срок поставки: не позднее 30.06.2026 г.</w:t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Стоимость Лицензионного договора</w:t>
      </w:r>
      <w:r>
        <w:rPr>
          <w:rFonts w:ascii="Liberation Serif" w:hAnsi="Liberation Serif" w:cs="Liberation Serif"/>
          <w:sz w:val="24"/>
          <w:szCs w:val="24"/>
        </w:rPr>
        <w:t xml:space="preserve"> за предоставление права использования программы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приведена в Таблице 1.</w:t>
      </w:r>
    </w:p>
    <w:p w:rsidR="00060171" w:rsidRDefault="00610811">
      <w:pPr>
        <w:spacing w:before="240" w:after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Таблица 1. </w:t>
      </w:r>
    </w:p>
    <w:tbl>
      <w:tblPr>
        <w:tblStyle w:val="af9"/>
        <w:tblW w:w="9067" w:type="dxa"/>
        <w:tblLook w:val="04A0" w:firstRow="1" w:lastRow="0" w:firstColumn="1" w:lastColumn="0" w:noHBand="0" w:noVBand="1"/>
      </w:tblPr>
      <w:tblGrid>
        <w:gridCol w:w="419"/>
        <w:gridCol w:w="2128"/>
        <w:gridCol w:w="1417"/>
        <w:gridCol w:w="1408"/>
        <w:gridCol w:w="1144"/>
        <w:gridCol w:w="2551"/>
      </w:tblGrid>
      <w:tr w:rsidR="00060171">
        <w:trPr>
          <w:trHeight w:val="1627"/>
        </w:trPr>
        <w:tc>
          <w:tcPr>
            <w:tcW w:w="419" w:type="dxa"/>
            <w:shd w:val="clear" w:color="auto" w:fill="D9D9D9" w:themeFill="background1" w:themeFillShade="D9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t>№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060171" w:rsidRDefault="0006017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Размер Лицензионного вознаграждения за 1 лицензию (руб., в т.ч. НДС 20%)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060171" w:rsidRDefault="0006017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Срок действия лицензий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060171" w:rsidRDefault="0006017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 xml:space="preserve">Количество лицензий </w:t>
            </w:r>
          </w:p>
          <w:p w:rsidR="00060171" w:rsidRDefault="0006017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Размер Лицензионного вознаграждения (руб., в т.ч. НДС 20 %)</w:t>
            </w:r>
          </w:p>
        </w:tc>
      </w:tr>
      <w:tr w:rsidR="00060171">
        <w:trPr>
          <w:trHeight w:val="1499"/>
        </w:trPr>
        <w:tc>
          <w:tcPr>
            <w:tcW w:w="419" w:type="dxa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lastRenderedPageBreak/>
              <w:t>1</w:t>
            </w:r>
          </w:p>
        </w:tc>
        <w:tc>
          <w:tcPr>
            <w:tcW w:w="2128" w:type="dxa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sz w:val="16"/>
                <w:szCs w:val="16"/>
              </w:rPr>
              <w:t xml:space="preserve">Программа для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ЭВМ «</w:t>
            </w:r>
            <w:r>
              <w:rPr>
                <w:rFonts w:ascii="Liberation Serif" w:hAnsi="Liberation Serif" w:cs="Liberation Serif"/>
                <w:color w:val="auto"/>
                <w:sz w:val="16"/>
                <w:szCs w:val="16"/>
              </w:rPr>
              <w:t xml:space="preserve">Типовая тиражная система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финансово-экономического управления (ТТС ФЭУ)» (простая неисключительная именная лицензия)</w:t>
            </w:r>
          </w:p>
        </w:tc>
        <w:tc>
          <w:tcPr>
            <w:tcW w:w="1417" w:type="dxa"/>
          </w:tcPr>
          <w:p w:rsidR="00060171" w:rsidRDefault="00060171">
            <w:pPr>
              <w:widowControl w:val="0"/>
              <w:spacing w:after="240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</w:p>
          <w:p w:rsidR="00060171" w:rsidRDefault="0061081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330 337,06</w:t>
            </w:r>
          </w:p>
        </w:tc>
        <w:tc>
          <w:tcPr>
            <w:tcW w:w="1408" w:type="dxa"/>
            <w:vMerge w:val="restart"/>
          </w:tcPr>
          <w:p w:rsidR="00060171" w:rsidRDefault="0006017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060171" w:rsidRDefault="0006017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060171" w:rsidRDefault="0006017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060171" w:rsidRDefault="0061081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с 01.07.2026</w:t>
            </w:r>
          </w:p>
          <w:p w:rsidR="00060171" w:rsidRDefault="0061081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по 30.06.2029</w:t>
            </w:r>
          </w:p>
        </w:tc>
        <w:tc>
          <w:tcPr>
            <w:tcW w:w="1144" w:type="dxa"/>
          </w:tcPr>
          <w:p w:rsidR="00060171" w:rsidRDefault="0006017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060171" w:rsidRDefault="0061081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2551" w:type="dxa"/>
            <w:vAlign w:val="center"/>
          </w:tcPr>
          <w:p w:rsidR="00060171" w:rsidRDefault="00610811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24 444 942,44</w:t>
            </w:r>
          </w:p>
        </w:tc>
      </w:tr>
      <w:tr w:rsidR="00060171">
        <w:trPr>
          <w:trHeight w:val="1189"/>
        </w:trPr>
        <w:tc>
          <w:tcPr>
            <w:tcW w:w="419" w:type="dxa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t>2</w:t>
            </w:r>
          </w:p>
        </w:tc>
        <w:tc>
          <w:tcPr>
            <w:tcW w:w="2128" w:type="dxa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sz w:val="16"/>
                <w:szCs w:val="16"/>
              </w:rPr>
              <w:t>Программа для ЭВМ «Типовая тиражная система финансово-экономического управления (ТТС ФЭУ)» (простая неисключительная универсальная лицензия)</w:t>
            </w:r>
          </w:p>
        </w:tc>
        <w:tc>
          <w:tcPr>
            <w:tcW w:w="1417" w:type="dxa"/>
          </w:tcPr>
          <w:p w:rsidR="00060171" w:rsidRDefault="00060171">
            <w:pPr>
              <w:widowControl w:val="0"/>
              <w:spacing w:after="240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</w:p>
          <w:p w:rsidR="00060171" w:rsidRDefault="0061081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    </w:t>
            </w:r>
          </w:p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770 793,14 </w:t>
            </w:r>
          </w:p>
        </w:tc>
        <w:tc>
          <w:tcPr>
            <w:tcW w:w="1408" w:type="dxa"/>
            <w:vMerge/>
          </w:tcPr>
          <w:p w:rsidR="00060171" w:rsidRDefault="0006017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</w:tcPr>
          <w:p w:rsidR="00060171" w:rsidRDefault="0006017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1</w:t>
            </w:r>
          </w:p>
          <w:p w:rsidR="00060171" w:rsidRDefault="00060171">
            <w:pPr>
              <w:rPr>
                <w:rFonts w:ascii="Liberation Serif" w:hAnsi="Liberation Serif" w:cs="Liberation Serif"/>
              </w:rPr>
            </w:pPr>
          </w:p>
          <w:p w:rsidR="00060171" w:rsidRDefault="00610811">
            <w:pPr>
              <w:tabs>
                <w:tab w:val="left" w:pos="839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2551" w:type="dxa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770 793,14</w:t>
            </w:r>
          </w:p>
        </w:tc>
      </w:tr>
      <w:tr w:rsidR="00060171">
        <w:trPr>
          <w:trHeight w:val="405"/>
        </w:trPr>
        <w:tc>
          <w:tcPr>
            <w:tcW w:w="419" w:type="dxa"/>
          </w:tcPr>
          <w:p w:rsidR="00060171" w:rsidRDefault="0006017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060171" w:rsidRDefault="00610811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Итого в т.ч. НДС (20%)</w:t>
            </w:r>
          </w:p>
        </w:tc>
        <w:tc>
          <w:tcPr>
            <w:tcW w:w="2551" w:type="dxa"/>
          </w:tcPr>
          <w:p w:rsidR="00060171" w:rsidRDefault="00610811">
            <w:pPr>
              <w:pStyle w:val="af7"/>
              <w:widowControl w:val="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25 215 735,58</w:t>
            </w:r>
          </w:p>
        </w:tc>
      </w:tr>
    </w:tbl>
    <w:p w:rsidR="00060171" w:rsidRDefault="00060171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060171" w:rsidRDefault="00060171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060171" w:rsidRDefault="00610811">
      <w:pPr>
        <w:pStyle w:val="10"/>
        <w:numPr>
          <w:ilvl w:val="0"/>
          <w:numId w:val="10"/>
        </w:numPr>
        <w:spacing w:before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4" w:name="_Toc1"/>
      <w:r>
        <w:rPr>
          <w:rFonts w:ascii="Liberation Serif" w:hAnsi="Liberation Serif" w:cs="Liberation Serif"/>
          <w:sz w:val="24"/>
          <w:szCs w:val="24"/>
        </w:rPr>
        <w:t>ОПИСАНИЕ ПРЕДЛОЖЕНИЯ</w:t>
      </w:r>
      <w:bookmarkEnd w:id="4"/>
      <w:bookmarkEnd w:id="2"/>
    </w:p>
    <w:p w:rsidR="00060171" w:rsidRDefault="00610811">
      <w:pPr>
        <w:pStyle w:val="25"/>
        <w:numPr>
          <w:ilvl w:val="1"/>
          <w:numId w:val="10"/>
        </w:numPr>
        <w:tabs>
          <w:tab w:val="left" w:pos="1440"/>
        </w:tabs>
        <w:spacing w:before="200" w:after="20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Использование в ДО системы ФЭУ позволит:</w:t>
      </w:r>
    </w:p>
    <w:p w:rsidR="00060171" w:rsidRDefault="00610811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прозрачность и актуальность управленческих данных, оперативно обращаться к аналитике любого уровня в системе ТТС ФЭУ;</w:t>
      </w:r>
    </w:p>
    <w:p w:rsidR="00060171" w:rsidRDefault="00610811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Развивать процессы централизованного управления и сопровождения, применять единые корпор</w:t>
      </w:r>
      <w:r>
        <w:rPr>
          <w:rFonts w:ascii="Liberation Serif" w:eastAsia="Times New Roman" w:hAnsi="Liberation Serif" w:cs="Liberation Serif"/>
          <w:sz w:val="24"/>
          <w:szCs w:val="24"/>
        </w:rPr>
        <w:t>ативные стандарты методологии бухгалтерского, налогового учета и учета по МСФО;</w:t>
      </w:r>
    </w:p>
    <w:p w:rsidR="00060171" w:rsidRDefault="00610811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минимизировать риски нарушения качества бухгалтерской и налоговой отчетности и информации бизнес-плана Общества, а также устранить риски недостоверности консолидированной отчет</w:t>
      </w:r>
      <w:r>
        <w:rPr>
          <w:rFonts w:ascii="Liberation Serif" w:eastAsia="Times New Roman" w:hAnsi="Liberation Serif" w:cs="Liberation Serif"/>
          <w:sz w:val="24"/>
          <w:szCs w:val="24"/>
        </w:rPr>
        <w:t>ности Группы ввиду расхождений учетных принципов по однотипным объектам учета, применяемых компаниями Группы;</w:t>
      </w:r>
    </w:p>
    <w:p w:rsidR="00060171" w:rsidRDefault="00610811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оперативность взаимодействия и обеспечение скоординированной работы специалистов структурных подразделений и предприятий Группы, как след</w:t>
      </w:r>
      <w:r>
        <w:rPr>
          <w:rFonts w:ascii="Liberation Serif" w:eastAsia="Times New Roman" w:hAnsi="Liberation Serif" w:cs="Liberation Serif"/>
          <w:sz w:val="24"/>
          <w:szCs w:val="24"/>
        </w:rPr>
        <w:t>ствие - повышение операционного контроля;</w:t>
      </w:r>
    </w:p>
    <w:p w:rsidR="00060171" w:rsidRDefault="00610811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организовать интерфейсы передачи данных в корпоративную систему консолидации отчетности (ИС ПКО) и систему корпоративного планирования (АСКП);</w:t>
      </w:r>
    </w:p>
    <w:p w:rsidR="00060171" w:rsidRDefault="00610811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выполнять регулярный план-</w:t>
      </w:r>
      <w:proofErr w:type="spellStart"/>
      <w:r>
        <w:rPr>
          <w:rFonts w:ascii="Liberation Serif" w:eastAsia="Times New Roman" w:hAnsi="Liberation Serif" w:cs="Liberation Serif"/>
          <w:sz w:val="24"/>
          <w:szCs w:val="24"/>
        </w:rPr>
        <w:t>фактный</w:t>
      </w:r>
      <w:proofErr w:type="spellEnd"/>
      <w:r>
        <w:rPr>
          <w:rFonts w:ascii="Liberation Serif" w:eastAsia="Times New Roman" w:hAnsi="Liberation Serif" w:cs="Liberation Serif"/>
          <w:sz w:val="24"/>
          <w:szCs w:val="24"/>
        </w:rPr>
        <w:t xml:space="preserve"> анализ в разрезе ПЕ;</w:t>
      </w:r>
    </w:p>
    <w:p w:rsidR="00060171" w:rsidRDefault="00610811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эффективность работы Общества за счет детального и адресного планирования, контроля доходов и расходов (включая расчет плановой и фактической управленческой себестоимости, тарифного анализа), денежных активов, обязательств, источников финансирован</w:t>
      </w:r>
      <w:r>
        <w:rPr>
          <w:rFonts w:ascii="Liberation Serif" w:eastAsia="Times New Roman" w:hAnsi="Liberation Serif" w:cs="Liberation Serif"/>
          <w:sz w:val="24"/>
          <w:szCs w:val="24"/>
        </w:rPr>
        <w:t>ия на уровне компании, формирования детализированной управленческой отчетности на уровне Общества;</w:t>
      </w:r>
    </w:p>
    <w:p w:rsidR="00060171" w:rsidRDefault="000601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1068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:rsidR="00060171" w:rsidRDefault="00610811">
      <w:pPr>
        <w:pStyle w:val="10"/>
        <w:numPr>
          <w:ilvl w:val="0"/>
          <w:numId w:val="10"/>
        </w:numPr>
        <w:spacing w:before="200" w:after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5" w:name="_Toc22"/>
      <w:r>
        <w:rPr>
          <w:rFonts w:ascii="Liberation Serif" w:hAnsi="Liberation Serif" w:cs="Liberation Serif"/>
          <w:sz w:val="24"/>
          <w:szCs w:val="24"/>
        </w:rPr>
        <w:t xml:space="preserve">ОГРАНИЧЕНИЯ И ДОПУЩЕНИЯ </w:t>
      </w:r>
      <w:bookmarkEnd w:id="5"/>
    </w:p>
    <w:p w:rsidR="00060171" w:rsidRDefault="00610811">
      <w:pPr>
        <w:pStyle w:val="af7"/>
        <w:numPr>
          <w:ilvl w:val="0"/>
          <w:numId w:val="22"/>
        </w:numPr>
        <w:rPr>
          <w:rFonts w:ascii="Liberation Serif" w:hAnsi="Liberation Serif" w:cs="Liberation Serif"/>
          <w:sz w:val="24"/>
          <w:szCs w:val="24"/>
        </w:rPr>
      </w:pPr>
      <w:bookmarkStart w:id="6" w:name="_Toc24"/>
      <w:r>
        <w:rPr>
          <w:rFonts w:ascii="Liberation Serif" w:hAnsi="Liberation Serif" w:cs="Liberation Serif"/>
          <w:sz w:val="24"/>
          <w:szCs w:val="24"/>
        </w:rPr>
        <w:t>Стоимость предоставления прав использования программы для ЭВМ «Типовая тиражная система финансово-экономического управления (ТТС ФЭ</w:t>
      </w:r>
      <w:r>
        <w:rPr>
          <w:rFonts w:ascii="Liberation Serif" w:hAnsi="Liberation Serif" w:cs="Liberation Serif"/>
          <w:sz w:val="24"/>
          <w:szCs w:val="24"/>
        </w:rPr>
        <w:t>У)» представлена в ценах 2026 г.</w:t>
      </w:r>
    </w:p>
    <w:p w:rsidR="00060171" w:rsidRDefault="00610811">
      <w:pPr>
        <w:pStyle w:val="af7"/>
        <w:numPr>
          <w:ilvl w:val="0"/>
          <w:numId w:val="22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В стоимость ТКП входит исправление ошибок программы для ЭВМ «ТТС ФЭУ» в части устранения неисправности текущей функциональности программного продукта в рамках гарантийного обслуживания.</w:t>
      </w:r>
    </w:p>
    <w:p w:rsidR="00060171" w:rsidRDefault="00610811">
      <w:pPr>
        <w:pStyle w:val="af7"/>
        <w:numPr>
          <w:ilvl w:val="0"/>
          <w:numId w:val="22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Изменение/доработка функционала прогр</w:t>
      </w:r>
      <w:r>
        <w:rPr>
          <w:rFonts w:ascii="Liberation Serif" w:hAnsi="Liberation Serif" w:cs="Liberation Serif"/>
          <w:sz w:val="24"/>
          <w:szCs w:val="24"/>
        </w:rPr>
        <w:t>аммы для ЭВМ «ТТС ФЭУ» под требования Заказчика не входит в стоимость передаваемых неисключительных прав.</w:t>
      </w:r>
    </w:p>
    <w:p w:rsidR="00060171" w:rsidRDefault="00610811">
      <w:pPr>
        <w:pStyle w:val="10"/>
        <w:numPr>
          <w:ilvl w:val="0"/>
          <w:numId w:val="10"/>
        </w:numPr>
        <w:spacing w:before="200" w:after="24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ЗАКЛЮЧИТЕЛЬНЫЕ ПОЛОЖЕНИЯ</w:t>
      </w:r>
      <w:bookmarkEnd w:id="6"/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Все положения, изложенные в настоящем документе, являются предварительными, и должны обсуждаться сторонами в процессе перегов</w:t>
      </w:r>
      <w:r>
        <w:rPr>
          <w:rFonts w:ascii="Liberation Serif" w:hAnsi="Liberation Serif" w:cs="Liberation Serif"/>
          <w:sz w:val="24"/>
          <w:szCs w:val="24"/>
        </w:rPr>
        <w:t>оров.</w:t>
      </w:r>
    </w:p>
    <w:p w:rsidR="00060171" w:rsidRDefault="00610811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Выражаем готовность к обсуждению требований и пожеланий Заказчика в части настоящего технико-коммерческого предложения.</w:t>
      </w:r>
    </w:p>
    <w:p w:rsidR="00060171" w:rsidRDefault="00060171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060171" w:rsidRDefault="00610811">
      <w:pPr>
        <w:tabs>
          <w:tab w:val="right" w:pos="9779"/>
        </w:tabs>
        <w:spacing w:before="120" w:after="12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Генеральный директор </w:t>
      </w:r>
      <w:r>
        <w:rPr>
          <w:rFonts w:ascii="Liberation Serif" w:hAnsi="Liberation Serif" w:cs="Liberation Serif"/>
          <w:sz w:val="24"/>
          <w:szCs w:val="24"/>
        </w:rPr>
        <w:tab/>
        <w:t>Савенков Денис Евгеньевич</w:t>
      </w:r>
    </w:p>
    <w:p w:rsidR="00060171" w:rsidRDefault="00060171">
      <w:pPr>
        <w:tabs>
          <w:tab w:val="right" w:pos="9355"/>
        </w:tabs>
        <w:spacing w:before="120" w:after="120" w:line="240" w:lineRule="auto"/>
        <w:rPr>
          <w:rFonts w:ascii="Liberation Serif" w:hAnsi="Liberation Serif" w:cs="Liberation Serif"/>
        </w:rPr>
      </w:pPr>
    </w:p>
    <w:sectPr w:rsidR="00060171">
      <w:headerReference w:type="default" r:id="rId10"/>
      <w:footerReference w:type="default" r:id="rId11"/>
      <w:pgSz w:w="11900" w:h="16840"/>
      <w:pgMar w:top="1134" w:right="851" w:bottom="1134" w:left="1276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171" w:rsidRDefault="00610811">
      <w:pPr>
        <w:spacing w:after="0" w:line="240" w:lineRule="auto"/>
      </w:pPr>
      <w:r>
        <w:separator/>
      </w:r>
    </w:p>
  </w:endnote>
  <w:endnote w:type="continuationSeparator" w:id="0">
    <w:p w:rsidR="00060171" w:rsidRDefault="00610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171" w:rsidRDefault="00610811">
    <w:pPr>
      <w:pStyle w:val="af4"/>
      <w:jc w:val="right"/>
      <w:rPr>
        <w:b/>
        <w:bCs/>
        <w:i/>
        <w:iCs/>
        <w:color w:val="365F91"/>
      </w:rPr>
    </w:pPr>
    <w:r>
      <w:rPr>
        <w:b/>
        <w:bCs/>
        <w:i/>
        <w:iCs/>
        <w:color w:val="365F91"/>
      </w:rPr>
      <w:fldChar w:fldCharType="begin"/>
    </w:r>
    <w:r>
      <w:rPr>
        <w:b/>
        <w:bCs/>
        <w:i/>
        <w:iCs/>
        <w:color w:val="365F91"/>
      </w:rPr>
      <w:instrText xml:space="preserve"> PAGE </w:instrText>
    </w:r>
    <w:r>
      <w:rPr>
        <w:b/>
        <w:bCs/>
        <w:i/>
        <w:iCs/>
        <w:color w:val="365F91"/>
      </w:rPr>
      <w:fldChar w:fldCharType="separate"/>
    </w:r>
    <w:r>
      <w:rPr>
        <w:b/>
        <w:bCs/>
        <w:i/>
        <w:iCs/>
        <w:color w:val="365F91"/>
      </w:rPr>
      <w:t>2</w:t>
    </w:r>
    <w:r>
      <w:rPr>
        <w:b/>
        <w:bCs/>
        <w:i/>
        <w:iCs/>
        <w:color w:val="365F91"/>
      </w:rPr>
      <w:fldChar w:fldCharType="end"/>
    </w:r>
    <w:r>
      <w:rPr>
        <w:b/>
        <w:bCs/>
        <w:i/>
        <w:iCs/>
        <w:color w:val="365F91"/>
      </w:rPr>
      <w:t xml:space="preserve">                            Технико-коммерческое предложение для</w:t>
    </w:r>
  </w:p>
  <w:p w:rsidR="00060171" w:rsidRDefault="00610811">
    <w:pPr>
      <w:pStyle w:val="af4"/>
      <w:jc w:val="right"/>
    </w:pPr>
    <w:r>
      <w:rPr>
        <w:b/>
        <w:bCs/>
        <w:i/>
        <w:iCs/>
        <w:color w:val="365F91"/>
      </w:rPr>
      <w:t xml:space="preserve"> </w:t>
    </w:r>
    <w:r>
      <w:rPr>
        <w:b/>
        <w:bCs/>
        <w:i/>
        <w:iCs/>
        <w:color w:val="365F91"/>
      </w:rPr>
      <w:t>ПАО «Тамбовская энергосбытовая компания»/</w:t>
    </w:r>
    <w:r>
      <w:rPr>
        <w:b/>
        <w:bCs/>
        <w:color w:val="365F91"/>
      </w:rPr>
      <w:t xml:space="preserve"> Конфиденциально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171" w:rsidRDefault="00060171">
    <w:pPr>
      <w:pStyle w:val="af4"/>
      <w:jc w:val="center"/>
    </w:pPr>
  </w:p>
  <w:tbl>
    <w:tblPr>
      <w:tblW w:w="0" w:type="auto"/>
      <w:tblInd w:w="710" w:type="dxa"/>
      <w:tblLook w:val="04A0" w:firstRow="1" w:lastRow="0" w:firstColumn="1" w:lastColumn="0" w:noHBand="0" w:noVBand="1"/>
    </w:tblPr>
    <w:tblGrid>
      <w:gridCol w:w="8505"/>
    </w:tblGrid>
    <w:tr w:rsidR="00060171">
      <w:trPr>
        <w:trHeight w:val="424"/>
      </w:trPr>
      <w:tc>
        <w:tcPr>
          <w:tcW w:w="8505" w:type="dxa"/>
          <w:shd w:val="clear" w:color="auto" w:fill="auto"/>
          <w:vAlign w:val="center"/>
        </w:tcPr>
        <w:p w:rsidR="00060171" w:rsidRDefault="00610811">
          <w:pPr>
            <w:pStyle w:val="af4"/>
            <w:ind w:right="176"/>
            <w:jc w:val="center"/>
            <w:rPr>
              <w:sz w:val="16"/>
              <w:szCs w:val="16"/>
            </w:rPr>
          </w:pPr>
          <w:r>
            <w:rPr>
              <w:color w:val="E16B22"/>
              <w:sz w:val="16"/>
              <w:szCs w:val="16"/>
            </w:rPr>
            <w:t>ОБЩЕСТВО С ОГРАНИЧЕННОЙ ОТВЕТСТВЕННОСТЬЮ «ИНТЕР РАО – ИНФОРМАЦИОННЫЕ ТЕХНОЛОГИИ»</w:t>
          </w:r>
        </w:p>
      </w:tc>
    </w:tr>
  </w:tbl>
  <w:p w:rsidR="00060171" w:rsidRDefault="00060171">
    <w:pPr>
      <w:pStyle w:val="af4"/>
      <w:shd w:val="clear" w:color="auto" w:fill="F4B083"/>
      <w:ind w:left="3686" w:right="3804" w:hanging="270"/>
      <w:jc w:val="center"/>
      <w:rPr>
        <w:sz w:val="28"/>
        <w:szCs w:val="28"/>
      </w:rPr>
    </w:pPr>
  </w:p>
  <w:p w:rsidR="00060171" w:rsidRDefault="00060171">
    <w:pPr>
      <w:pStyle w:val="af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171" w:rsidRDefault="00610811">
    <w:pPr>
      <w:pStyle w:val="af4"/>
      <w:jc w:val="right"/>
    </w:pPr>
    <w:r>
      <w:rPr>
        <w:b/>
        <w:bCs/>
        <w:i/>
        <w:iCs/>
        <w:color w:val="365F91"/>
      </w:rPr>
      <w:fldChar w:fldCharType="begin"/>
    </w:r>
    <w:r>
      <w:rPr>
        <w:b/>
        <w:bCs/>
        <w:i/>
        <w:iCs/>
        <w:color w:val="365F91"/>
      </w:rPr>
      <w:instrText xml:space="preserve"> PAGE </w:instrText>
    </w:r>
    <w:r>
      <w:rPr>
        <w:b/>
        <w:bCs/>
        <w:i/>
        <w:iCs/>
        <w:color w:val="365F91"/>
      </w:rPr>
      <w:fldChar w:fldCharType="separate"/>
    </w:r>
    <w:r>
      <w:rPr>
        <w:b/>
        <w:bCs/>
        <w:i/>
        <w:iCs/>
        <w:color w:val="365F91"/>
      </w:rPr>
      <w:t>3</w:t>
    </w:r>
    <w:r>
      <w:rPr>
        <w:b/>
        <w:bCs/>
        <w:i/>
        <w:iCs/>
        <w:color w:val="365F91"/>
      </w:rPr>
      <w:fldChar w:fldCharType="end"/>
    </w:r>
    <w:r>
      <w:rPr>
        <w:b/>
        <w:bCs/>
        <w:i/>
        <w:iCs/>
        <w:color w:val="365F91"/>
      </w:rPr>
      <w:t xml:space="preserve">                                        </w:t>
    </w:r>
    <w:r>
      <w:rPr>
        <w:b/>
        <w:bCs/>
        <w:i/>
        <w:iCs/>
        <w:color w:val="365F91"/>
      </w:rPr>
      <w:tab/>
    </w:r>
    <w:r>
      <w:rPr>
        <w:b/>
        <w:bCs/>
        <w:i/>
        <w:iCs/>
        <w:color w:val="365F91"/>
      </w:rPr>
      <w:tab/>
    </w:r>
    <w:r>
      <w:rPr>
        <w:b/>
        <w:bCs/>
        <w:i/>
        <w:iCs/>
        <w:color w:val="365F91"/>
      </w:rPr>
      <w:t xml:space="preserve">              Технико-коммерческое предложение для</w:t>
    </w:r>
  </w:p>
  <w:p w:rsidR="00060171" w:rsidRDefault="00610811">
    <w:pPr>
      <w:pStyle w:val="af4"/>
      <w:jc w:val="right"/>
    </w:pPr>
    <w:r>
      <w:rPr>
        <w:b/>
        <w:bCs/>
        <w:i/>
        <w:iCs/>
        <w:color w:val="365F91"/>
      </w:rPr>
      <w:t>ПАО «Тамбовская энергосбытовая компания»/</w:t>
    </w:r>
    <w:r>
      <w:rPr>
        <w:b/>
        <w:bCs/>
        <w:color w:val="365F91"/>
      </w:rPr>
      <w:t>Конфиденциально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171" w:rsidRDefault="00610811">
      <w:pPr>
        <w:spacing w:after="0" w:line="240" w:lineRule="auto"/>
      </w:pPr>
      <w:r>
        <w:separator/>
      </w:r>
    </w:p>
  </w:footnote>
  <w:footnote w:type="continuationSeparator" w:id="0">
    <w:p w:rsidR="00060171" w:rsidRDefault="00610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171" w:rsidRDefault="00610811">
    <w:pPr>
      <w:tabs>
        <w:tab w:val="center" w:pos="4676"/>
        <w:tab w:val="left" w:pos="9072"/>
      </w:tabs>
      <w:jc w:val="center"/>
    </w:pPr>
    <w:r>
      <w:rPr>
        <w:noProof/>
      </w:rPr>
      <mc:AlternateContent>
        <mc:Choice Requires="wpg">
          <w:drawing>
            <wp:inline distT="0" distB="0" distL="0" distR="0">
              <wp:extent cx="1943100" cy="600075"/>
              <wp:effectExtent l="0" t="0" r="0" b="0"/>
              <wp:docPr id="1" name="officeArt object" descr="\\hq-msfr\usr$\yudin_ka\Documents\ИНТЕР РАО ИТ\Брендбук\Логотипы\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3741825" name="\\hq-msfr\usr$\yudin_ka\Documents\ИНТЕР РАО ИТ\Брендбук\Логотипы\1.jpg" descr="\\hq-msfr\usr$\yudin_ka\Documents\ИНТЕР РАО ИТ\Брендбук\Логотипы\1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43100" cy="600075"/>
                      </a:xfrm>
                      <a:prstGeom prst="rect">
                        <a:avLst/>
                      </a:prstGeom>
                      <a:ln w="12700" cap="flat">
                        <a:noFill/>
                        <a:miter lim="400000"/>
                      </a:ln>
                      <a:effectLst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153.00pt;height:47.25pt;mso-wrap-distance-left:0.00pt;mso-wrap-distance-top:0.00pt;mso-wrap-distance-right:0.00pt;mso-wrap-distance-bottom:0.00pt;" stroked="f" strokeweight="1.00pt">
              <v:path textboxrect="0,0,0,0"/>
              <v:imagedata r:id="rId2" o:title=""/>
            </v:shape>
          </w:pict>
        </mc:Fallback>
      </mc:AlternateContent>
    </w:r>
  </w:p>
  <w:p w:rsidR="00060171" w:rsidRDefault="00610811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</w:rPr>
    </w:pPr>
    <w:r>
      <w:rPr>
        <w:rFonts w:ascii="Arial Narrow" w:hAnsi="Arial Narrow"/>
        <w:color w:val="365F91"/>
        <w:sz w:val="16"/>
        <w:szCs w:val="16"/>
      </w:rPr>
      <w:t xml:space="preserve">Большая </w:t>
    </w:r>
    <w:proofErr w:type="spellStart"/>
    <w:r>
      <w:rPr>
        <w:rFonts w:ascii="Arial Narrow" w:hAnsi="Arial Narrow"/>
        <w:color w:val="365F91"/>
        <w:sz w:val="16"/>
        <w:szCs w:val="16"/>
      </w:rPr>
      <w:t>Пироговская</w:t>
    </w:r>
    <w:proofErr w:type="spellEnd"/>
    <w:r>
      <w:rPr>
        <w:rFonts w:ascii="Arial Narrow" w:hAnsi="Arial Narrow"/>
        <w:color w:val="365F91"/>
        <w:sz w:val="16"/>
        <w:szCs w:val="16"/>
      </w:rPr>
      <w:t xml:space="preserve"> улица, дом 27, строение 3, Москва, Россия, 119435</w:t>
    </w:r>
  </w:p>
  <w:p w:rsidR="00060171" w:rsidRDefault="00610811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  <w:u w:val="single"/>
      </w:rPr>
    </w:pPr>
    <w:r>
      <w:rPr>
        <w:rFonts w:ascii="Arial Narrow" w:hAnsi="Arial Narrow"/>
        <w:color w:val="365F91"/>
        <w:sz w:val="16"/>
        <w:szCs w:val="16"/>
      </w:rPr>
      <w:t>Телефон: +7 (495) 664-88-40 (многоканальный), e-</w:t>
    </w:r>
    <w:proofErr w:type="spellStart"/>
    <w:r>
      <w:rPr>
        <w:rFonts w:ascii="Arial Narrow" w:hAnsi="Arial Narrow"/>
        <w:color w:val="365F91"/>
        <w:sz w:val="16"/>
        <w:szCs w:val="16"/>
      </w:rPr>
      <w:t>mail</w:t>
    </w:r>
    <w:proofErr w:type="spellEnd"/>
    <w:r>
      <w:rPr>
        <w:rFonts w:ascii="Arial Narrow" w:hAnsi="Arial Narrow"/>
        <w:color w:val="365F91"/>
        <w:sz w:val="16"/>
        <w:szCs w:val="16"/>
      </w:rPr>
      <w:t xml:space="preserve">: it@interrao.ru </w:t>
    </w:r>
  </w:p>
  <w:p w:rsidR="00060171" w:rsidRDefault="00610811">
    <w:pPr>
      <w:spacing w:after="0" w:line="240" w:lineRule="auto"/>
      <w:jc w:val="center"/>
    </w:pPr>
    <w:r>
      <w:rPr>
        <w:rFonts w:ascii="Arial Narrow" w:hAnsi="Arial Narrow"/>
        <w:color w:val="365F91"/>
        <w:sz w:val="16"/>
        <w:szCs w:val="16"/>
      </w:rPr>
      <w:t>ИНН 7727624244, КПП 770401001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171" w:rsidRDefault="00060171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6669E"/>
    <w:multiLevelType w:val="hybridMultilevel"/>
    <w:tmpl w:val="097652AC"/>
    <w:styleLink w:val="5"/>
    <w:lvl w:ilvl="0" w:tplc="FE8E43A8">
      <w:start w:val="1"/>
      <w:numFmt w:val="bullet"/>
      <w:pStyle w:val="5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0CE2929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5B761B60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8EDAD2CE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D220C3AA">
      <w:start w:val="1"/>
      <w:numFmt w:val="bullet"/>
      <w:lvlText w:val="¨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DA766D6E">
      <w:start w:val="1"/>
      <w:numFmt w:val="bullet"/>
      <w:lvlText w:val="➢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87D0CEF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FAB8F0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877E8978">
      <w:start w:val="1"/>
      <w:numFmt w:val="bullet"/>
      <w:lvlText w:val="¨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9E1759D"/>
    <w:multiLevelType w:val="multilevel"/>
    <w:tmpl w:val="7D2A56E8"/>
    <w:lvl w:ilvl="0">
      <w:start w:val="1"/>
      <w:numFmt w:val="decimal"/>
      <w:lvlText w:val="%1."/>
      <w:lvlJc w:val="left"/>
      <w:pPr>
        <w:ind w:left="391" w:hanging="39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29" w:hanging="72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3" w:hanging="72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524" w:hanging="10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015" w:hanging="105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836" w:hanging="13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657" w:hanging="171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148" w:hanging="17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5969" w:hanging="204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F8D1909"/>
    <w:multiLevelType w:val="hybridMultilevel"/>
    <w:tmpl w:val="D56E9D1E"/>
    <w:numStyleLink w:val="8"/>
  </w:abstractNum>
  <w:abstractNum w:abstractNumId="3" w15:restartNumberingAfterBreak="0">
    <w:nsid w:val="20092477"/>
    <w:multiLevelType w:val="hybridMultilevel"/>
    <w:tmpl w:val="256C1D4C"/>
    <w:lvl w:ilvl="0" w:tplc="3ADC94B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2665C18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7B2011C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66E375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BEA3810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1282673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F32DDF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61EA224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E4B8E35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9BA0FC9"/>
    <w:multiLevelType w:val="hybridMultilevel"/>
    <w:tmpl w:val="99B2BDA4"/>
    <w:lvl w:ilvl="0" w:tplc="BB183E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45C5A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A4F0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AE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F60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34DE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CD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48B2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C2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56A9A"/>
    <w:multiLevelType w:val="multilevel"/>
    <w:tmpl w:val="97F64388"/>
    <w:styleLink w:val="1"/>
    <w:lvl w:ilvl="0">
      <w:start w:val="1"/>
      <w:numFmt w:val="decimal"/>
      <w:pStyle w:val="1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13054C"/>
    <w:multiLevelType w:val="hybridMultilevel"/>
    <w:tmpl w:val="C1EE37BE"/>
    <w:lvl w:ilvl="0" w:tplc="01F2127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5DB8B9BC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D848CC60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2F2F96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79EA7B7A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8750A15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92E01700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F066A46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364F36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DED61A6"/>
    <w:multiLevelType w:val="hybridMultilevel"/>
    <w:tmpl w:val="D56E9D1E"/>
    <w:styleLink w:val="8"/>
    <w:lvl w:ilvl="0" w:tplc="259C3EEC">
      <w:start w:val="1"/>
      <w:numFmt w:val="bullet"/>
      <w:pStyle w:val="8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47CD29E">
      <w:start w:val="1"/>
      <w:numFmt w:val="bullet"/>
      <w:lvlText w:val="o"/>
      <w:lvlJc w:val="left"/>
      <w:pPr>
        <w:tabs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92C06AD6">
      <w:start w:val="1"/>
      <w:numFmt w:val="bullet"/>
      <w:lvlText w:val="▪"/>
      <w:lvlJc w:val="left"/>
      <w:pPr>
        <w:tabs>
          <w:tab w:val="left" w:pos="144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1BB07C88">
      <w:start w:val="1"/>
      <w:numFmt w:val="bullet"/>
      <w:lvlText w:val="·"/>
      <w:lvlJc w:val="left"/>
      <w:pPr>
        <w:tabs>
          <w:tab w:val="left" w:pos="144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EB08362A">
      <w:start w:val="1"/>
      <w:numFmt w:val="bullet"/>
      <w:lvlText w:val="o"/>
      <w:lvlJc w:val="left"/>
      <w:pPr>
        <w:tabs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5AA27B58">
      <w:start w:val="1"/>
      <w:numFmt w:val="bullet"/>
      <w:lvlText w:val="▪"/>
      <w:lvlJc w:val="left"/>
      <w:pPr>
        <w:tabs>
          <w:tab w:val="left" w:pos="144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3CCEF8DA">
      <w:start w:val="1"/>
      <w:numFmt w:val="bullet"/>
      <w:lvlText w:val="·"/>
      <w:lvlJc w:val="left"/>
      <w:pPr>
        <w:tabs>
          <w:tab w:val="left" w:pos="144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527E0524">
      <w:start w:val="1"/>
      <w:numFmt w:val="bullet"/>
      <w:lvlText w:val="o"/>
      <w:lvlJc w:val="left"/>
      <w:pPr>
        <w:tabs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896EA22C">
      <w:start w:val="1"/>
      <w:numFmt w:val="bullet"/>
      <w:lvlText w:val="▪"/>
      <w:lvlJc w:val="left"/>
      <w:pPr>
        <w:tabs>
          <w:tab w:val="left" w:pos="1440"/>
        </w:tabs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BA1180B"/>
    <w:multiLevelType w:val="hybridMultilevel"/>
    <w:tmpl w:val="DA7C7960"/>
    <w:numStyleLink w:val="3"/>
  </w:abstractNum>
  <w:abstractNum w:abstractNumId="9" w15:restartNumberingAfterBreak="0">
    <w:nsid w:val="4BD97D02"/>
    <w:multiLevelType w:val="hybridMultilevel"/>
    <w:tmpl w:val="097652AC"/>
    <w:numStyleLink w:val="5"/>
  </w:abstractNum>
  <w:abstractNum w:abstractNumId="10" w15:restartNumberingAfterBreak="0">
    <w:nsid w:val="4E4278A3"/>
    <w:multiLevelType w:val="hybridMultilevel"/>
    <w:tmpl w:val="C932FBA2"/>
    <w:lvl w:ilvl="0" w:tplc="1812E1E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90B898">
      <w:start w:val="1"/>
      <w:numFmt w:val="lowerLetter"/>
      <w:lvlText w:val="%2."/>
      <w:lvlJc w:val="left"/>
      <w:pPr>
        <w:ind w:left="1656" w:hanging="360"/>
      </w:pPr>
    </w:lvl>
    <w:lvl w:ilvl="2" w:tplc="311E97E6">
      <w:start w:val="1"/>
      <w:numFmt w:val="lowerRoman"/>
      <w:lvlText w:val="%3."/>
      <w:lvlJc w:val="right"/>
      <w:pPr>
        <w:ind w:left="2376" w:hanging="180"/>
      </w:pPr>
    </w:lvl>
    <w:lvl w:ilvl="3" w:tplc="EC6693B2">
      <w:start w:val="1"/>
      <w:numFmt w:val="decimal"/>
      <w:lvlText w:val="%4."/>
      <w:lvlJc w:val="left"/>
      <w:pPr>
        <w:ind w:left="3096" w:hanging="360"/>
      </w:pPr>
    </w:lvl>
    <w:lvl w:ilvl="4" w:tplc="A6E2C6F6">
      <w:start w:val="1"/>
      <w:numFmt w:val="lowerLetter"/>
      <w:lvlText w:val="%5."/>
      <w:lvlJc w:val="left"/>
      <w:pPr>
        <w:ind w:left="3816" w:hanging="360"/>
      </w:pPr>
    </w:lvl>
    <w:lvl w:ilvl="5" w:tplc="5E240D3E">
      <w:start w:val="1"/>
      <w:numFmt w:val="lowerRoman"/>
      <w:lvlText w:val="%6."/>
      <w:lvlJc w:val="right"/>
      <w:pPr>
        <w:ind w:left="4536" w:hanging="180"/>
      </w:pPr>
    </w:lvl>
    <w:lvl w:ilvl="6" w:tplc="7E4E04D8">
      <w:start w:val="1"/>
      <w:numFmt w:val="decimal"/>
      <w:lvlText w:val="%7."/>
      <w:lvlJc w:val="left"/>
      <w:pPr>
        <w:ind w:left="5256" w:hanging="360"/>
      </w:pPr>
    </w:lvl>
    <w:lvl w:ilvl="7" w:tplc="4D8EB5D2">
      <w:start w:val="1"/>
      <w:numFmt w:val="lowerLetter"/>
      <w:lvlText w:val="%8."/>
      <w:lvlJc w:val="left"/>
      <w:pPr>
        <w:ind w:left="5976" w:hanging="360"/>
      </w:pPr>
    </w:lvl>
    <w:lvl w:ilvl="8" w:tplc="B4BC2642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4F2D48AA"/>
    <w:multiLevelType w:val="multilevel"/>
    <w:tmpl w:val="97F64388"/>
    <w:numStyleLink w:val="1"/>
  </w:abstractNum>
  <w:abstractNum w:abstractNumId="12" w15:restartNumberingAfterBreak="0">
    <w:nsid w:val="5452040F"/>
    <w:multiLevelType w:val="hybridMultilevel"/>
    <w:tmpl w:val="DA7C7960"/>
    <w:styleLink w:val="3"/>
    <w:lvl w:ilvl="0" w:tplc="B330E938">
      <w:start w:val="1"/>
      <w:numFmt w:val="bullet"/>
      <w:pStyle w:val="3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75A22BC">
      <w:start w:val="1"/>
      <w:numFmt w:val="bullet"/>
      <w:lvlText w:val="o"/>
      <w:lvlJc w:val="left"/>
      <w:pPr>
        <w:tabs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0B8AF456">
      <w:start w:val="1"/>
      <w:numFmt w:val="bullet"/>
      <w:lvlText w:val="▪"/>
      <w:lvlJc w:val="left"/>
      <w:pPr>
        <w:tabs>
          <w:tab w:val="left" w:pos="144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452CFA34">
      <w:start w:val="1"/>
      <w:numFmt w:val="bullet"/>
      <w:lvlText w:val="·"/>
      <w:lvlJc w:val="left"/>
      <w:pPr>
        <w:tabs>
          <w:tab w:val="left" w:pos="144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440E3442">
      <w:start w:val="1"/>
      <w:numFmt w:val="bullet"/>
      <w:lvlText w:val="o"/>
      <w:lvlJc w:val="left"/>
      <w:pPr>
        <w:tabs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4D1EEFD4">
      <w:start w:val="1"/>
      <w:numFmt w:val="bullet"/>
      <w:lvlText w:val="▪"/>
      <w:lvlJc w:val="left"/>
      <w:pPr>
        <w:tabs>
          <w:tab w:val="left" w:pos="144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5CFCABA4">
      <w:start w:val="1"/>
      <w:numFmt w:val="bullet"/>
      <w:lvlText w:val="·"/>
      <w:lvlJc w:val="left"/>
      <w:pPr>
        <w:tabs>
          <w:tab w:val="left" w:pos="144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3FE6DA34">
      <w:start w:val="1"/>
      <w:numFmt w:val="bullet"/>
      <w:lvlText w:val="o"/>
      <w:lvlJc w:val="left"/>
      <w:pPr>
        <w:tabs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853277DA">
      <w:start w:val="1"/>
      <w:numFmt w:val="bullet"/>
      <w:lvlText w:val="▪"/>
      <w:lvlJc w:val="left"/>
      <w:pPr>
        <w:tabs>
          <w:tab w:val="left" w:pos="1440"/>
        </w:tabs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21A57C2"/>
    <w:multiLevelType w:val="hybridMultilevel"/>
    <w:tmpl w:val="EB441646"/>
    <w:lvl w:ilvl="0" w:tplc="E04C8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C35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A2F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A8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162D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C86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126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CC6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B488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774E0"/>
    <w:multiLevelType w:val="hybridMultilevel"/>
    <w:tmpl w:val="00EE218A"/>
    <w:lvl w:ilvl="0" w:tplc="101C6E60">
      <w:start w:val="1"/>
      <w:numFmt w:val="bullet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6104D70">
      <w:start w:val="1"/>
      <w:numFmt w:val="bullet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3DD69AC8">
      <w:start w:val="1"/>
      <w:numFmt w:val="bullet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8BCEC8A0">
      <w:start w:val="1"/>
      <w:numFmt w:val="bullet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522E3BA8">
      <w:start w:val="1"/>
      <w:numFmt w:val="bullet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EEB0A036">
      <w:start w:val="1"/>
      <w:numFmt w:val="bullet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BBB6DEC2">
      <w:start w:val="1"/>
      <w:numFmt w:val="bullet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5A2A85AA">
      <w:start w:val="1"/>
      <w:numFmt w:val="bullet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408A764A">
      <w:start w:val="1"/>
      <w:numFmt w:val="bullet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63D5B6D"/>
    <w:multiLevelType w:val="hybridMultilevel"/>
    <w:tmpl w:val="5B6826B4"/>
    <w:lvl w:ilvl="0" w:tplc="4442E9CC">
      <w:start w:val="1"/>
      <w:numFmt w:val="bullet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73E48C2">
      <w:start w:val="1"/>
      <w:numFmt w:val="bullet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916C6742">
      <w:start w:val="1"/>
      <w:numFmt w:val="bullet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BE16D5AC">
      <w:start w:val="1"/>
      <w:numFmt w:val="bullet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B62C5E20">
      <w:start w:val="1"/>
      <w:numFmt w:val="bullet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56B009F4">
      <w:start w:val="1"/>
      <w:numFmt w:val="bullet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374004FE">
      <w:start w:val="1"/>
      <w:numFmt w:val="bullet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BEA68348">
      <w:start w:val="1"/>
      <w:numFmt w:val="bullet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D4F2D6E6">
      <w:start w:val="1"/>
      <w:numFmt w:val="bullet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1"/>
    <w:lvlOverride w:ilvl="0">
      <w:startOverride w:val="2"/>
      <w:lvl w:ilvl="0">
        <w:start w:val="2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3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4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3"/>
    </w:lvlOverride>
  </w:num>
  <w:num w:numId="6">
    <w:abstractNumId w:val="1"/>
    <w:lvlOverride w:ilvl="0">
      <w:startOverride w:val="4"/>
    </w:lvlOverride>
  </w:num>
  <w:num w:numId="7">
    <w:abstractNumId w:val="1"/>
    <w:lvlOverride w:ilvl="0">
      <w:startOverride w:val="5"/>
      <w:lvl w:ilvl="0">
        <w:start w:val="5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11"/>
  </w:num>
  <w:num w:numId="10">
    <w:abstractNumId w:val="11"/>
    <w:lvlOverride w:ilvl="0">
      <w:startOverride w:val="2"/>
      <w:lvl w:ilvl="0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1">
    <w:abstractNumId w:val="12"/>
  </w:num>
  <w:num w:numId="12">
    <w:abstractNumId w:val="8"/>
  </w:num>
  <w:num w:numId="13">
    <w:abstractNumId w:val="7"/>
  </w:num>
  <w:num w:numId="14">
    <w:abstractNumId w:val="2"/>
  </w:num>
  <w:num w:numId="15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6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7">
    <w:abstractNumId w:val="14"/>
  </w:num>
  <w:num w:numId="18">
    <w:abstractNumId w:val="15"/>
  </w:num>
  <w:num w:numId="19">
    <w:abstractNumId w:val="11"/>
    <w:lvlOverride w:ilvl="0">
      <w:startOverride w:val="3"/>
    </w:lvlOverride>
  </w:num>
  <w:num w:numId="20">
    <w:abstractNumId w:val="11"/>
    <w:lvlOverride w:ilvl="0">
      <w:startOverride w:val="4"/>
    </w:lvlOverride>
  </w:num>
  <w:num w:numId="21">
    <w:abstractNumId w:val="0"/>
  </w:num>
  <w:num w:numId="22">
    <w:abstractNumId w:val="9"/>
  </w:num>
  <w:num w:numId="23">
    <w:abstractNumId w:val="11"/>
    <w:lvlOverride w:ilvl="0">
      <w:lvl w:ilvl="0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24">
    <w:abstractNumId w:val="3"/>
  </w:num>
  <w:num w:numId="25">
    <w:abstractNumId w:val="10"/>
  </w:num>
  <w:num w:numId="26">
    <w:abstractNumId w:val="6"/>
  </w:num>
  <w:num w:numId="27">
    <w:abstractNumId w:val="1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171"/>
    <w:rsid w:val="00060171"/>
    <w:rsid w:val="0061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4D2742-F925-4175-8647-4D64E0DD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10">
    <w:name w:val="heading 1"/>
    <w:next w:val="a"/>
    <w:link w:val="11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0" w:line="276" w:lineRule="auto"/>
      <w:outlineLvl w:val="0"/>
    </w:pPr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paragraph" w:styleId="2">
    <w:name w:val="heading 2"/>
    <w:next w:val="a"/>
    <w:link w:val="20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76" w:lineRule="auto"/>
      <w:outlineLvl w:val="1"/>
    </w:pPr>
    <w:rPr>
      <w:rFonts w:ascii="Cambria" w:eastAsia="Cambria" w:hAnsi="Cambria" w:cs="Cambria"/>
      <w:b/>
      <w:bCs/>
      <w:color w:val="4F81BD"/>
      <w:sz w:val="26"/>
      <w:szCs w:val="26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0">
    <w:name w:val="heading 8"/>
    <w:basedOn w:val="a"/>
    <w:next w:val="a"/>
    <w:link w:val="81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"/>
    <w:basedOn w:val="a0"/>
    <w:link w:val="8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2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Cambria" w:eastAsia="Cambria" w:hAnsi="Cambria" w:cs="Cambria"/>
      <w:b/>
      <w:bCs/>
      <w:color w:val="4F81BD"/>
      <w:sz w:val="26"/>
      <w:szCs w:val="26"/>
      <w:lang w:eastAsia="ru-RU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3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lang w:eastAsia="ru-RU"/>
    </w:rPr>
  </w:style>
  <w:style w:type="paragraph" w:styleId="af4">
    <w:name w:val="footer"/>
    <w:link w:val="af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Pr>
      <w:rFonts w:ascii="Calibri" w:eastAsia="Calibri" w:hAnsi="Calibri" w:cs="Calibri"/>
      <w:color w:val="000000"/>
      <w:lang w:eastAsia="ru-RU"/>
    </w:rPr>
  </w:style>
  <w:style w:type="paragraph" w:styleId="af6">
    <w:name w:val="TOC Heading"/>
    <w:next w:val="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0" w:line="276" w:lineRule="auto"/>
    </w:pPr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paragraph" w:styleId="13">
    <w:name w:val="toc 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440"/>
        <w:tab w:val="right" w:leader="dot" w:pos="9770"/>
      </w:tabs>
      <w:spacing w:after="10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33">
    <w:name w:val="toc 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880"/>
        <w:tab w:val="right" w:leader="dot" w:pos="9770"/>
      </w:tabs>
      <w:spacing w:after="100" w:line="276" w:lineRule="auto"/>
      <w:ind w:left="220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25">
    <w:name w:val="Заголовк 2 (РЭР)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357"/>
      </w:tabs>
      <w:spacing w:before="360" w:after="240" w:line="276" w:lineRule="auto"/>
      <w:outlineLvl w:val="2"/>
    </w:pPr>
    <w:rPr>
      <w:rFonts w:ascii="Calibri" w:eastAsia="Calibri" w:hAnsi="Calibri" w:cs="Calibri"/>
      <w:b/>
      <w:bCs/>
      <w:color w:val="17365D"/>
      <w:sz w:val="28"/>
      <w:szCs w:val="28"/>
      <w:lang w:eastAsia="ru-RU"/>
    </w:rPr>
  </w:style>
  <w:style w:type="paragraph" w:customStyle="1" w:styleId="14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</w:pPr>
    <w:rPr>
      <w:rFonts w:ascii="Times New Roman" w:eastAsia="Times New Roman" w:hAnsi="Times New Roman" w:cs="Times New Roman"/>
      <w:color w:val="000000"/>
      <w:lang w:eastAsia="ru-RU"/>
    </w:rPr>
  </w:style>
  <w:style w:type="numbering" w:customStyle="1" w:styleId="1">
    <w:name w:val="Импортированный стиль 1"/>
    <w:pPr>
      <w:numPr>
        <w:numId w:val="8"/>
      </w:numPr>
    </w:pPr>
  </w:style>
  <w:style w:type="numbering" w:customStyle="1" w:styleId="3">
    <w:name w:val="Импортированный стиль 3"/>
    <w:pPr>
      <w:numPr>
        <w:numId w:val="11"/>
      </w:numPr>
    </w:pPr>
  </w:style>
  <w:style w:type="numbering" w:customStyle="1" w:styleId="8">
    <w:name w:val="Импортированный стиль 8"/>
    <w:pPr>
      <w:numPr>
        <w:numId w:val="13"/>
      </w:numPr>
    </w:pPr>
  </w:style>
  <w:style w:type="paragraph" w:styleId="af7">
    <w:name w:val="List Paragraph"/>
    <w:link w:val="af8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</w:pPr>
    <w:rPr>
      <w:rFonts w:ascii="Times New Roman" w:eastAsia="Arial Unicode MS" w:hAnsi="Times New Roman" w:cs="Arial Unicode MS"/>
      <w:color w:val="000000"/>
      <w:lang w:eastAsia="ru-RU"/>
    </w:rPr>
  </w:style>
  <w:style w:type="numbering" w:customStyle="1" w:styleId="5">
    <w:name w:val="Импортированный стиль 5"/>
    <w:pPr>
      <w:numPr>
        <w:numId w:val="21"/>
      </w:numPr>
    </w:pPr>
  </w:style>
  <w:style w:type="table" w:styleId="af9">
    <w:name w:val="Table Grid"/>
    <w:basedOn w:val="a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Calibri" w:eastAsia="Calibri" w:hAnsi="Calibri" w:cs="Calibri"/>
      <w:color w:val="000000"/>
      <w:lang w:eastAsia="ru-RU"/>
    </w:rPr>
  </w:style>
  <w:style w:type="character" w:customStyle="1" w:styleId="af8">
    <w:name w:val="Абзац списка Знак"/>
    <w:link w:val="af7"/>
    <w:uiPriority w:val="34"/>
    <w:rPr>
      <w:rFonts w:ascii="Times New Roman" w:eastAsia="Arial Unicode MS" w:hAnsi="Times New Roman" w:cs="Arial Unicode MS"/>
      <w:color w:val="000000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812</Words>
  <Characters>4631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Interrao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 Евгений Вячеславович</dc:creator>
  <cp:keywords/>
  <dc:description/>
  <cp:lastModifiedBy>Муравьев Евгений Вячеславович</cp:lastModifiedBy>
  <cp:revision>2</cp:revision>
  <dcterms:created xsi:type="dcterms:W3CDTF">2026-02-18T12:44:00Z</dcterms:created>
  <dcterms:modified xsi:type="dcterms:W3CDTF">2026-02-18T12:44:00Z</dcterms:modified>
</cp:coreProperties>
</file>